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2D73AB2D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6301CE">
        <w:t>9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6301CE">
        <w:t>7th</w:t>
      </w:r>
      <w:r w:rsidR="004520EA">
        <w:t xml:space="preserve"> </w:t>
      </w:r>
      <w:r w:rsidR="006301CE">
        <w:t>March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0815E9CB" w14:textId="12816BC6" w:rsidR="00615DCC" w:rsidRDefault="00BD6501" w:rsidP="008F6C56">
      <w:pPr>
        <w:numPr>
          <w:ilvl w:val="0"/>
          <w:numId w:val="3"/>
        </w:numPr>
      </w:pPr>
      <w:r>
        <w:t>To receive apologies for absence and lateness</w:t>
      </w:r>
      <w:r w:rsidR="000C6FA1">
        <w:t>.</w:t>
      </w:r>
      <w:r w:rsidR="008F6C56">
        <w:t xml:space="preserve"> </w:t>
      </w:r>
      <w:r w:rsidR="00487790">
        <w:t>C</w:t>
      </w:r>
      <w:r w:rsidR="00FD3DCA" w:rsidRPr="008F6C56">
        <w:rPr>
          <w:i/>
        </w:rPr>
        <w:t>llrs are reminded of the need to tender apologies to the Acting Clerk</w:t>
      </w:r>
      <w:r w:rsidR="00A8158E" w:rsidRPr="008F6C56">
        <w:rPr>
          <w:i/>
        </w:rPr>
        <w:t xml:space="preserve"> or Chairman</w:t>
      </w:r>
      <w:r w:rsidR="00FD3DCA" w:rsidRPr="008F6C56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422A3AC8" w14:textId="11F5D3FA" w:rsidR="00833279" w:rsidRPr="006301CE" w:rsidRDefault="00A7376A" w:rsidP="006301CE">
      <w:pPr>
        <w:numPr>
          <w:ilvl w:val="0"/>
          <w:numId w:val="3"/>
        </w:numPr>
        <w:rPr>
          <w:bCs/>
        </w:rPr>
      </w:pPr>
      <w:r w:rsidRPr="006301CE">
        <w:rPr>
          <w:bCs/>
        </w:rPr>
        <w:t xml:space="preserve">Public Participation </w:t>
      </w:r>
      <w:r w:rsidR="006301CE">
        <w:rPr>
          <w:bCs/>
        </w:rPr>
        <w:t xml:space="preserve">- </w:t>
      </w:r>
      <w:r w:rsidRPr="006301CE">
        <w:rPr>
          <w:bCs/>
        </w:rPr>
        <w:t>An opportunity for members of the public to address the Parish Council on any issues concerning them about the Parish</w:t>
      </w:r>
      <w:r w:rsidR="000C6FA1">
        <w:rPr>
          <w:bCs/>
        </w:rPr>
        <w:t>.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0A103B56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6301CE">
        <w:t>8</w:t>
      </w:r>
      <w:r w:rsidR="001C3D5B">
        <w:t>th</w:t>
      </w:r>
      <w:r>
        <w:t xml:space="preserve"> Meeting held on Thursd</w:t>
      </w:r>
      <w:r w:rsidR="00AF340F">
        <w:t>ay</w:t>
      </w:r>
      <w:r w:rsidR="008F6C56">
        <w:t xml:space="preserve"> </w:t>
      </w:r>
      <w:r w:rsidR="006301CE">
        <w:t>22</w:t>
      </w:r>
      <w:r w:rsidR="006301CE">
        <w:rPr>
          <w:vertAlign w:val="superscript"/>
        </w:rPr>
        <w:t>nd</w:t>
      </w:r>
      <w:r w:rsidR="00E06758">
        <w:t xml:space="preserve"> February</w:t>
      </w:r>
      <w:r w:rsidR="00AF340F">
        <w:t xml:space="preserve"> 2024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58FAB20" w:rsidR="00615DCC" w:rsidRDefault="00BD6501" w:rsidP="009244BD">
      <w:pPr>
        <w:numPr>
          <w:ilvl w:val="0"/>
          <w:numId w:val="3"/>
        </w:numPr>
      </w:pPr>
      <w:r>
        <w:t>To receive Parish Councillors’ declarations of interest</w:t>
      </w:r>
      <w:r w:rsidR="00B707F5">
        <w:t>.</w:t>
      </w:r>
    </w:p>
    <w:p w14:paraId="2A24F5B6" w14:textId="702C8AC6" w:rsidR="003907EC" w:rsidRDefault="003907EC" w:rsidP="003907EC">
      <w:pPr>
        <w:pStyle w:val="ListParagraph"/>
      </w:pPr>
    </w:p>
    <w:p w14:paraId="3133C54D" w14:textId="43C5A211" w:rsidR="003907EC" w:rsidRDefault="003907EC" w:rsidP="009244BD">
      <w:pPr>
        <w:numPr>
          <w:ilvl w:val="0"/>
          <w:numId w:val="3"/>
        </w:numPr>
      </w:pPr>
      <w:r>
        <w:t>To receive information on any on–going items identified in these and previous Minutes and decide further action where necessary</w:t>
      </w:r>
      <w:r w:rsidR="00B707F5">
        <w:t>.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3009BAE" w:rsidR="00615DCC" w:rsidRDefault="00BD6501" w:rsidP="009244BD">
      <w:pPr>
        <w:numPr>
          <w:ilvl w:val="0"/>
          <w:numId w:val="3"/>
        </w:numPr>
      </w:pPr>
      <w:r>
        <w:t>To receive reports from Calderdale Councillors who represent Ryburn Ward</w:t>
      </w:r>
      <w:r w:rsidR="00B707F5">
        <w:t>.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03065581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 w:rsidR="006356A5">
        <w:t>.</w:t>
      </w:r>
    </w:p>
    <w:p w14:paraId="4F31292F" w14:textId="77777777" w:rsidR="009268BC" w:rsidRDefault="009268BC" w:rsidP="009268BC">
      <w:pPr>
        <w:pStyle w:val="ListParagraph"/>
      </w:pPr>
    </w:p>
    <w:p w14:paraId="4281EE86" w14:textId="77777777" w:rsidR="009268BC" w:rsidRDefault="009268BC" w:rsidP="009268BC">
      <w:pPr>
        <w:numPr>
          <w:ilvl w:val="0"/>
          <w:numId w:val="3"/>
        </w:numPr>
      </w:pPr>
      <w:r>
        <w:t xml:space="preserve">To authorise the following direct debits, standing orders and regular payments for the financial year 2024-2025. (Note: room hire, insurance, internal and external audit fees and HMRC payments are no longer included here).  </w:t>
      </w:r>
    </w:p>
    <w:p w14:paraId="0DA85B02" w14:textId="77777777" w:rsidR="009268BC" w:rsidRDefault="009268BC" w:rsidP="007E7B15">
      <w:pPr>
        <w:numPr>
          <w:ilvl w:val="0"/>
          <w:numId w:val="4"/>
        </w:numPr>
      </w:pPr>
      <w:r>
        <w:t>ICO: £45 annually</w:t>
      </w:r>
    </w:p>
    <w:p w14:paraId="0EB8046A" w14:textId="77777777" w:rsidR="009268BC" w:rsidRDefault="009268BC" w:rsidP="007E7B15">
      <w:pPr>
        <w:numPr>
          <w:ilvl w:val="0"/>
          <w:numId w:val="4"/>
        </w:numPr>
      </w:pPr>
      <w:r>
        <w:t>YLCA: £1,100 annually</w:t>
      </w:r>
    </w:p>
    <w:p w14:paraId="448E222F" w14:textId="77777777" w:rsidR="009268BC" w:rsidRDefault="009268BC" w:rsidP="007E7B15">
      <w:pPr>
        <w:numPr>
          <w:ilvl w:val="0"/>
          <w:numId w:val="4"/>
        </w:numPr>
      </w:pPr>
      <w:r>
        <w:t>Storage: £320 monthly</w:t>
      </w:r>
    </w:p>
    <w:p w14:paraId="1BC25073" w14:textId="77777777" w:rsidR="009268BC" w:rsidRDefault="009268BC" w:rsidP="007E7B15">
      <w:pPr>
        <w:numPr>
          <w:ilvl w:val="0"/>
          <w:numId w:val="4"/>
        </w:numPr>
      </w:pPr>
      <w:r>
        <w:t>365: £85 monthly</w:t>
      </w:r>
    </w:p>
    <w:p w14:paraId="08950A6C" w14:textId="77777777" w:rsidR="009268BC" w:rsidRDefault="009268BC" w:rsidP="007E7B15">
      <w:pPr>
        <w:numPr>
          <w:ilvl w:val="0"/>
          <w:numId w:val="4"/>
        </w:numPr>
      </w:pPr>
      <w:r>
        <w:t xml:space="preserve">Bank charges: £7 </w:t>
      </w:r>
      <w:proofErr w:type="gramStart"/>
      <w:r>
        <w:t>monthly</w:t>
      </w:r>
      <w:proofErr w:type="gramEnd"/>
    </w:p>
    <w:p w14:paraId="58BD7F04" w14:textId="77777777" w:rsidR="009268BC" w:rsidRDefault="009268BC" w:rsidP="007E7B15">
      <w:pPr>
        <w:numPr>
          <w:ilvl w:val="0"/>
          <w:numId w:val="4"/>
        </w:numPr>
      </w:pPr>
      <w:r>
        <w:t>Vodafone: £25 monthly</w:t>
      </w:r>
    </w:p>
    <w:p w14:paraId="78BE959D" w14:textId="77777777" w:rsidR="009268BC" w:rsidRDefault="009268BC" w:rsidP="007E7B15">
      <w:pPr>
        <w:numPr>
          <w:ilvl w:val="0"/>
          <w:numId w:val="4"/>
        </w:numPr>
      </w:pPr>
      <w:r>
        <w:t>Antivirus: £30 annually</w:t>
      </w:r>
    </w:p>
    <w:p w14:paraId="427EAE15" w14:textId="77777777" w:rsidR="009268BC" w:rsidRDefault="009268BC" w:rsidP="007E7B15">
      <w:pPr>
        <w:numPr>
          <w:ilvl w:val="0"/>
          <w:numId w:val="4"/>
        </w:numPr>
      </w:pPr>
      <w:r>
        <w:t>Website SSL: £60 annually</w:t>
      </w:r>
    </w:p>
    <w:p w14:paraId="10E933D3" w14:textId="77777777" w:rsidR="009268BC" w:rsidRDefault="009268BC" w:rsidP="007E7B15">
      <w:pPr>
        <w:numPr>
          <w:ilvl w:val="0"/>
          <w:numId w:val="4"/>
        </w:numPr>
      </w:pPr>
      <w:r>
        <w:t>Website domain name: £30 annually</w:t>
      </w:r>
    </w:p>
    <w:p w14:paraId="0606D54A" w14:textId="5D75D11C" w:rsidR="009268BC" w:rsidRDefault="009268BC" w:rsidP="007E7B15">
      <w:pPr>
        <w:numPr>
          <w:ilvl w:val="0"/>
          <w:numId w:val="4"/>
        </w:numPr>
      </w:pPr>
      <w:r>
        <w:t>Website hosting: £75 annually.</w:t>
      </w:r>
    </w:p>
    <w:p w14:paraId="796CC002" w14:textId="77777777" w:rsidR="00B750F7" w:rsidRDefault="00B750F7" w:rsidP="00517E4E">
      <w:pPr>
        <w:ind w:left="0" w:firstLine="0"/>
      </w:pPr>
    </w:p>
    <w:p w14:paraId="6171B779" w14:textId="77777777" w:rsidR="007E7B15" w:rsidRDefault="007E7B15" w:rsidP="007E7B15">
      <w:pPr>
        <w:ind w:left="0" w:firstLine="0"/>
      </w:pPr>
    </w:p>
    <w:p w14:paraId="0F2075A1" w14:textId="3EFA03B2" w:rsidR="007E7B15" w:rsidRDefault="007E7B15" w:rsidP="00B13B25">
      <w:pPr>
        <w:numPr>
          <w:ilvl w:val="0"/>
          <w:numId w:val="3"/>
        </w:numPr>
      </w:pPr>
      <w:r w:rsidRPr="007E7B15">
        <w:t xml:space="preserve">To discuss and decide upon whether to move the general and earmarked reserves out of the operational business account, and whether to open into an interest-bearing account (either notice or fixed term) with Lloyds Bank (35 days - 2.6% or 95 days- 4%) or fixed term (3 </w:t>
      </w:r>
      <w:r w:rsidRPr="007E7B15">
        <w:t>months</w:t>
      </w:r>
      <w:r w:rsidRPr="007E7B15">
        <w:t xml:space="preserve"> to 2 years - 2% to 4.37%) for the general reserve and earmarked reserves.    </w:t>
      </w:r>
    </w:p>
    <w:p w14:paraId="10B4E61F" w14:textId="77777777" w:rsidR="007E7B15" w:rsidRDefault="007E7B15" w:rsidP="007E7B15">
      <w:pPr>
        <w:ind w:left="785" w:firstLine="0"/>
      </w:pPr>
    </w:p>
    <w:p w14:paraId="55F2F443" w14:textId="1ED1D964" w:rsidR="007E7B15" w:rsidRDefault="007E7B15" w:rsidP="00B13B25">
      <w:pPr>
        <w:numPr>
          <w:ilvl w:val="0"/>
          <w:numId w:val="3"/>
        </w:numPr>
      </w:pPr>
      <w:r>
        <w:t>To decide whether to renew the SLCC Membership</w:t>
      </w:r>
      <w:r w:rsidR="000C6FA1">
        <w:t>.</w:t>
      </w:r>
    </w:p>
    <w:p w14:paraId="18D7DB91" w14:textId="77777777" w:rsidR="007E7B15" w:rsidRDefault="007E7B15" w:rsidP="007E7B15">
      <w:pPr>
        <w:ind w:left="0" w:firstLine="0"/>
      </w:pPr>
    </w:p>
    <w:p w14:paraId="68C6F1BB" w14:textId="62987DD6" w:rsidR="00AE5ACD" w:rsidRDefault="00B750F7" w:rsidP="00B13B25">
      <w:pPr>
        <w:numPr>
          <w:ilvl w:val="0"/>
          <w:numId w:val="3"/>
        </w:numPr>
      </w:pPr>
      <w:r>
        <w:t xml:space="preserve">To receive </w:t>
      </w:r>
      <w:r w:rsidR="009268BC">
        <w:t xml:space="preserve">an update about the internal auditor, an decide whether to accept the quotation. </w:t>
      </w:r>
      <w:r w:rsidR="004B050D">
        <w:t xml:space="preserve"> </w:t>
      </w:r>
    </w:p>
    <w:p w14:paraId="0136EBC4" w14:textId="77777777" w:rsidR="007E7B15" w:rsidRDefault="007E7B15" w:rsidP="007E7B15">
      <w:pPr>
        <w:pStyle w:val="ListParagraph"/>
      </w:pPr>
    </w:p>
    <w:p w14:paraId="6A595C4D" w14:textId="59E841E5" w:rsidR="007E7B15" w:rsidRDefault="007E7B15" w:rsidP="00B13B25">
      <w:pPr>
        <w:numPr>
          <w:ilvl w:val="0"/>
          <w:numId w:val="3"/>
        </w:numPr>
      </w:pPr>
      <w:r w:rsidRPr="007E7B15">
        <w:t xml:space="preserve">To discuss the insurance Policy with </w:t>
      </w:r>
      <w:proofErr w:type="gramStart"/>
      <w:r w:rsidRPr="007E7B15">
        <w:t>Zurich, and</w:t>
      </w:r>
      <w:proofErr w:type="gramEnd"/>
      <w:r w:rsidRPr="007E7B15">
        <w:t xml:space="preserve"> authorise payment</w:t>
      </w:r>
      <w:r>
        <w:t>.</w:t>
      </w:r>
    </w:p>
    <w:p w14:paraId="5D5A5115" w14:textId="77777777" w:rsidR="007E7B15" w:rsidRDefault="007E7B15" w:rsidP="007E7B15">
      <w:pPr>
        <w:pStyle w:val="ListParagraph"/>
      </w:pPr>
    </w:p>
    <w:p w14:paraId="3E3267B1" w14:textId="77777777" w:rsidR="007E7B15" w:rsidRDefault="007E7B15" w:rsidP="007E7B15">
      <w:pPr>
        <w:pStyle w:val="ListParagraph"/>
      </w:pPr>
    </w:p>
    <w:p w14:paraId="332FED6B" w14:textId="77777777" w:rsidR="007E7B15" w:rsidRDefault="007E7B15" w:rsidP="007E7B15">
      <w:pPr>
        <w:pStyle w:val="ListParagraph"/>
      </w:pPr>
    </w:p>
    <w:p w14:paraId="0B913992" w14:textId="5F6B9FDA" w:rsidR="007E7B15" w:rsidRDefault="007E7B15" w:rsidP="00B13B25">
      <w:pPr>
        <w:numPr>
          <w:ilvl w:val="0"/>
          <w:numId w:val="3"/>
        </w:numPr>
      </w:pPr>
      <w:r>
        <w:t xml:space="preserve">To discuss the Biodiversity </w:t>
      </w:r>
      <w:proofErr w:type="gramStart"/>
      <w:r>
        <w:t>Policy, and</w:t>
      </w:r>
      <w:proofErr w:type="gramEnd"/>
      <w:r>
        <w:t xml:space="preserve"> accept it. </w:t>
      </w:r>
    </w:p>
    <w:p w14:paraId="7FDBEE65" w14:textId="77777777" w:rsidR="00A345C7" w:rsidRDefault="00A345C7" w:rsidP="009268BC">
      <w:pPr>
        <w:ind w:left="0" w:firstLine="0"/>
      </w:pPr>
    </w:p>
    <w:p w14:paraId="251DB600" w14:textId="3FA17E87" w:rsidR="00A345C7" w:rsidRDefault="002868B2" w:rsidP="009244BD">
      <w:pPr>
        <w:numPr>
          <w:ilvl w:val="0"/>
          <w:numId w:val="3"/>
        </w:numPr>
      </w:pPr>
      <w:r>
        <w:t xml:space="preserve">To receive </w:t>
      </w:r>
      <w:r w:rsidR="0079380D">
        <w:t>on going report</w:t>
      </w:r>
      <w:r>
        <w:t xml:space="preserve"> about Rishworth War Memorial</w:t>
      </w:r>
      <w:r w:rsidR="007E7B15">
        <w:t xml:space="preserve"> and discuss quotations for work. </w:t>
      </w:r>
    </w:p>
    <w:p w14:paraId="203B42F0" w14:textId="05196212" w:rsidR="0079380D" w:rsidRDefault="0079380D" w:rsidP="007E7B15">
      <w:pPr>
        <w:ind w:left="0" w:firstLine="0"/>
      </w:pPr>
    </w:p>
    <w:p w14:paraId="4ED1DAD3" w14:textId="2114F937" w:rsidR="00975989" w:rsidRDefault="008609A8" w:rsidP="009244BD">
      <w:pPr>
        <w:numPr>
          <w:ilvl w:val="0"/>
          <w:numId w:val="3"/>
        </w:numPr>
      </w:pPr>
      <w:r>
        <w:t xml:space="preserve">To discuss </w:t>
      </w:r>
      <w:r w:rsidR="0079380D">
        <w:t xml:space="preserve">any updates on CAT of the Ripponden Library. </w:t>
      </w:r>
    </w:p>
    <w:p w14:paraId="3FA744C8" w14:textId="77777777" w:rsidR="007E7B15" w:rsidRDefault="007E7B15" w:rsidP="007E7B15">
      <w:pPr>
        <w:pStyle w:val="ListParagraph"/>
      </w:pPr>
    </w:p>
    <w:p w14:paraId="26A5BF43" w14:textId="31DAADB2" w:rsidR="007E7B15" w:rsidRDefault="007E7B15" w:rsidP="009244BD">
      <w:pPr>
        <w:numPr>
          <w:ilvl w:val="0"/>
          <w:numId w:val="3"/>
        </w:numPr>
      </w:pPr>
      <w:r>
        <w:t xml:space="preserve">To discuss Christmas lights and the purchase of replacements (Budget of </w:t>
      </w:r>
      <w:r w:rsidR="000C6FA1">
        <w:t xml:space="preserve">£12000). </w:t>
      </w:r>
    </w:p>
    <w:p w14:paraId="3FC4D9BA" w14:textId="77777777" w:rsidR="00043762" w:rsidRDefault="00043762" w:rsidP="00043762">
      <w:pPr>
        <w:pStyle w:val="ListParagraph"/>
      </w:pP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6C7E66"/>
    <w:p w14:paraId="3CBD5EA9" w14:textId="77777777" w:rsidR="003B5DCD" w:rsidRDefault="003B5DCD" w:rsidP="0079380D">
      <w:pPr>
        <w:ind w:left="0" w:firstLine="0"/>
      </w:pPr>
    </w:p>
    <w:p w14:paraId="4EE06D4D" w14:textId="77777777" w:rsidR="000C6FA1" w:rsidRPr="000C6FA1" w:rsidRDefault="000C6FA1" w:rsidP="000C6FA1">
      <w:pPr>
        <w:pStyle w:val="ListParagraph"/>
        <w:numPr>
          <w:ilvl w:val="0"/>
          <w:numId w:val="3"/>
        </w:numPr>
      </w:pPr>
      <w:r w:rsidRPr="000C6FA1">
        <w:t xml:space="preserve">To discuss correspondence from Calderdale MBC regarding the application For Modification Order </w:t>
      </w:r>
      <w:proofErr w:type="gramStart"/>
      <w:r w:rsidRPr="000C6FA1">
        <w:t>To</w:t>
      </w:r>
      <w:proofErr w:type="gramEnd"/>
      <w:r w:rsidRPr="000C6FA1">
        <w:t xml:space="preserve"> Add A Public Bridleway.</w:t>
      </w:r>
    </w:p>
    <w:p w14:paraId="02612C28" w14:textId="77777777" w:rsidR="000C6FA1" w:rsidRDefault="000C6FA1" w:rsidP="000C6FA1">
      <w:pPr>
        <w:pStyle w:val="ListParagraph"/>
        <w:ind w:left="785" w:firstLine="0"/>
      </w:pPr>
    </w:p>
    <w:p w14:paraId="003C2AC1" w14:textId="70337D77" w:rsidR="004F637C" w:rsidRDefault="00F804C9" w:rsidP="00676429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342612F7" w14:textId="77777777" w:rsidR="00F40E67" w:rsidRDefault="00F40E67" w:rsidP="00F40E67">
      <w:pPr>
        <w:pStyle w:val="ListParagraph"/>
        <w:ind w:left="785" w:firstLine="0"/>
      </w:pPr>
    </w:p>
    <w:p w14:paraId="097BE6FC" w14:textId="04D0D7F5" w:rsidR="00F40E67" w:rsidRDefault="00F40E67" w:rsidP="00676429">
      <w:pPr>
        <w:pStyle w:val="ListParagraph"/>
        <w:numPr>
          <w:ilvl w:val="0"/>
          <w:numId w:val="3"/>
        </w:numPr>
        <w:rPr>
          <w:szCs w:val="20"/>
        </w:rPr>
      </w:pPr>
      <w:r w:rsidRPr="00F40E67">
        <w:rPr>
          <w:szCs w:val="20"/>
        </w:rPr>
        <w:t>To discuss and decide upon the grant application from 2nd Ripponden Rishworth St John's Brownies</w:t>
      </w:r>
      <w:r>
        <w:rPr>
          <w:szCs w:val="20"/>
        </w:rPr>
        <w:t>.</w:t>
      </w:r>
    </w:p>
    <w:p w14:paraId="4B69644E" w14:textId="22BC01E7" w:rsidR="004858D7" w:rsidRDefault="004858D7" w:rsidP="000C6FA1">
      <w:pPr>
        <w:pStyle w:val="ListParagraph"/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3D66A9D4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 w:rsidR="000C6FA1">
        <w:t>02.03</w:t>
      </w:r>
      <w:r>
        <w:t>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EB0031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3"/>
  </w:num>
  <w:num w:numId="4" w16cid:durableId="192198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C6FA1"/>
    <w:rsid w:val="000F1659"/>
    <w:rsid w:val="001049D3"/>
    <w:rsid w:val="00116705"/>
    <w:rsid w:val="001259F2"/>
    <w:rsid w:val="001351A6"/>
    <w:rsid w:val="00143E8D"/>
    <w:rsid w:val="0016016D"/>
    <w:rsid w:val="00164800"/>
    <w:rsid w:val="00171AE8"/>
    <w:rsid w:val="0017298C"/>
    <w:rsid w:val="00180B58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555B0"/>
    <w:rsid w:val="0035658E"/>
    <w:rsid w:val="003600F2"/>
    <w:rsid w:val="0036132D"/>
    <w:rsid w:val="003617EF"/>
    <w:rsid w:val="003659CF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22D14"/>
    <w:rsid w:val="00422E12"/>
    <w:rsid w:val="00444C2B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F637C"/>
    <w:rsid w:val="00504238"/>
    <w:rsid w:val="00504AC6"/>
    <w:rsid w:val="00507259"/>
    <w:rsid w:val="00514E32"/>
    <w:rsid w:val="00517E4E"/>
    <w:rsid w:val="00517F99"/>
    <w:rsid w:val="00522D04"/>
    <w:rsid w:val="005271F4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4BB8"/>
    <w:rsid w:val="006301CE"/>
    <w:rsid w:val="006356A5"/>
    <w:rsid w:val="006356D1"/>
    <w:rsid w:val="006423CA"/>
    <w:rsid w:val="00644AE1"/>
    <w:rsid w:val="00646574"/>
    <w:rsid w:val="00653AD0"/>
    <w:rsid w:val="006553F5"/>
    <w:rsid w:val="00661AA8"/>
    <w:rsid w:val="00670D80"/>
    <w:rsid w:val="00676429"/>
    <w:rsid w:val="0068351C"/>
    <w:rsid w:val="006A2896"/>
    <w:rsid w:val="006B00F7"/>
    <w:rsid w:val="006C7E66"/>
    <w:rsid w:val="006E336E"/>
    <w:rsid w:val="006F012B"/>
    <w:rsid w:val="007004FB"/>
    <w:rsid w:val="00701E62"/>
    <w:rsid w:val="007117AD"/>
    <w:rsid w:val="007212A1"/>
    <w:rsid w:val="00722E8C"/>
    <w:rsid w:val="007319D9"/>
    <w:rsid w:val="0074738C"/>
    <w:rsid w:val="007503C7"/>
    <w:rsid w:val="007579B4"/>
    <w:rsid w:val="00771C49"/>
    <w:rsid w:val="00775870"/>
    <w:rsid w:val="0079380D"/>
    <w:rsid w:val="007A158D"/>
    <w:rsid w:val="007A567D"/>
    <w:rsid w:val="007C1B2E"/>
    <w:rsid w:val="007D00E2"/>
    <w:rsid w:val="007E7B15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3F46"/>
    <w:rsid w:val="0088156D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8F6C56"/>
    <w:rsid w:val="00900013"/>
    <w:rsid w:val="0090046F"/>
    <w:rsid w:val="0090520D"/>
    <w:rsid w:val="009060EC"/>
    <w:rsid w:val="00914EAD"/>
    <w:rsid w:val="00916D1E"/>
    <w:rsid w:val="009224C9"/>
    <w:rsid w:val="009244BD"/>
    <w:rsid w:val="009268BC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C3CB8"/>
    <w:rsid w:val="009D048E"/>
    <w:rsid w:val="009D712A"/>
    <w:rsid w:val="009F5361"/>
    <w:rsid w:val="009F547C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C37E9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4065"/>
    <w:rsid w:val="00B63765"/>
    <w:rsid w:val="00B64DCF"/>
    <w:rsid w:val="00B652E1"/>
    <w:rsid w:val="00B707F5"/>
    <w:rsid w:val="00B750F7"/>
    <w:rsid w:val="00B76615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2F8B"/>
    <w:rsid w:val="00C9460B"/>
    <w:rsid w:val="00CD22C1"/>
    <w:rsid w:val="00CE1AE8"/>
    <w:rsid w:val="00CF6BE2"/>
    <w:rsid w:val="00D03621"/>
    <w:rsid w:val="00D0740F"/>
    <w:rsid w:val="00D12455"/>
    <w:rsid w:val="00D12835"/>
    <w:rsid w:val="00D22064"/>
    <w:rsid w:val="00D61AE2"/>
    <w:rsid w:val="00D964BE"/>
    <w:rsid w:val="00DA5710"/>
    <w:rsid w:val="00DC36E6"/>
    <w:rsid w:val="00DC4C97"/>
    <w:rsid w:val="00DD694C"/>
    <w:rsid w:val="00E06758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E4613"/>
    <w:rsid w:val="00F13E63"/>
    <w:rsid w:val="00F25365"/>
    <w:rsid w:val="00F33181"/>
    <w:rsid w:val="00F34FF0"/>
    <w:rsid w:val="00F35620"/>
    <w:rsid w:val="00F40E67"/>
    <w:rsid w:val="00F66720"/>
    <w:rsid w:val="00F7000B"/>
    <w:rsid w:val="00F804C9"/>
    <w:rsid w:val="00F831CB"/>
    <w:rsid w:val="00F85A02"/>
    <w:rsid w:val="00F877A3"/>
    <w:rsid w:val="00F96554"/>
    <w:rsid w:val="00FA093A"/>
    <w:rsid w:val="00FA1221"/>
    <w:rsid w:val="00FB0486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Andrew Naylor</cp:lastModifiedBy>
  <cp:revision>6</cp:revision>
  <cp:lastPrinted>2024-02-16T17:16:00Z</cp:lastPrinted>
  <dcterms:created xsi:type="dcterms:W3CDTF">2024-03-02T17:53:00Z</dcterms:created>
  <dcterms:modified xsi:type="dcterms:W3CDTF">2024-03-02T18:20:00Z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